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98C7F" w14:textId="41D2C47B" w:rsidR="004417A0" w:rsidRPr="002B3C12" w:rsidRDefault="00CC1DA5" w:rsidP="002B3C12">
      <w:r w:rsidRPr="00094996">
        <w:rPr>
          <w:b/>
          <w:bCs/>
        </w:rPr>
        <w:t>PRANEŠIMAS SPAUDAI</w:t>
      </w:r>
      <w:r w:rsidR="002A06E8" w:rsidRPr="00094996">
        <w:rPr>
          <w:b/>
          <w:bCs/>
        </w:rPr>
        <w:br/>
      </w:r>
      <w:r w:rsidR="002A06E8" w:rsidRPr="00DF079D">
        <w:t xml:space="preserve">2025 m. spalio </w:t>
      </w:r>
      <w:r w:rsidR="000C33E2">
        <w:t>9</w:t>
      </w:r>
      <w:r w:rsidR="002A06E8" w:rsidRPr="00DF079D">
        <w:t xml:space="preserve"> d.</w:t>
      </w:r>
    </w:p>
    <w:p w14:paraId="3AD9DDAA" w14:textId="6AFD8BD0" w:rsidR="002908F4" w:rsidRPr="00094996" w:rsidRDefault="002908F4" w:rsidP="003B780F">
      <w:pPr>
        <w:jc w:val="center"/>
        <w:rPr>
          <w:b/>
          <w:bCs/>
          <w:sz w:val="24"/>
          <w:szCs w:val="24"/>
        </w:rPr>
      </w:pPr>
      <w:r w:rsidRPr="00094996">
        <w:rPr>
          <w:b/>
          <w:bCs/>
          <w:sz w:val="24"/>
          <w:szCs w:val="24"/>
        </w:rPr>
        <w:t>Vežėjai: spartus MMA augimas gali branginti paslaugas ir mažinti konkurencingumą</w:t>
      </w:r>
    </w:p>
    <w:p w14:paraId="173D9AE8" w14:textId="30DF66A7" w:rsidR="002908F4" w:rsidRPr="00094996" w:rsidRDefault="002908F4" w:rsidP="006C69EA">
      <w:pPr>
        <w:ind w:firstLine="284"/>
        <w:jc w:val="both"/>
      </w:pPr>
      <w:r w:rsidRPr="00094996">
        <w:t>Lietuvos nacionalinė vežėjų automobiliais asociacija LINAVA pateikė pastabas dėl Vyriausybės nutarimo projekto „Dėl 2026 metais taikomo minimalaus mėnesinio atlyginimo“, kuriuo siūloma minimalų mėnesinį atlyginimą (MMA) didinti iki 1153 eurų.</w:t>
      </w:r>
    </w:p>
    <w:p w14:paraId="270DEA0E" w14:textId="1B506FEC" w:rsidR="002908F4" w:rsidRPr="00094996" w:rsidRDefault="002908F4" w:rsidP="006C69EA">
      <w:pPr>
        <w:ind w:firstLine="284"/>
        <w:jc w:val="both"/>
      </w:pPr>
      <w:r w:rsidRPr="00094996">
        <w:t>Asociacijos vertinimu, toks didinimas neproporcingai padidintų darbo sąnaudas ir dar labiau iškreiptų konkurencines sąlygas tarp transporto ir kitų ekonomikos sektorių.</w:t>
      </w:r>
    </w:p>
    <w:p w14:paraId="2BBAAAF9" w14:textId="3F769860" w:rsidR="002908F4" w:rsidRPr="00094996" w:rsidRDefault="002908F4" w:rsidP="006C69EA">
      <w:pPr>
        <w:ind w:firstLine="284"/>
        <w:jc w:val="both"/>
      </w:pPr>
      <w:r w:rsidRPr="00094996">
        <w:t xml:space="preserve">„Transporto įmonės jau dabar moka vienus didžiausių minimalių atlyginimų šalyje </w:t>
      </w:r>
      <w:r w:rsidR="005E5230">
        <w:t xml:space="preserve">– </w:t>
      </w:r>
      <w:r w:rsidRPr="00094996">
        <w:t>transporto sektoriui taikomas 1,65 MMA koeficientas, todėl faktinis minimalus atlygis siekia 1 712,70 eurų bruto. Jei 2026 m. MMA būtų padidintas iki siūlomo lygio, ši suma išaugtų iki 1 902,45 eurų. Toks augimas taptų  dar viena našta vežėjams ir mažintų jų konkurencingumą tarptautinėje rinkoje“</w:t>
      </w:r>
      <w:r w:rsidR="004920D1">
        <w:t>,</w:t>
      </w:r>
      <w:r w:rsidRPr="00094996">
        <w:t xml:space="preserve"> kurį paskutiniais metais sparčiai prarandame , – sako LINAVOS prezidentas Erlandas Mikėnas.</w:t>
      </w:r>
    </w:p>
    <w:p w14:paraId="65748142" w14:textId="4ED8FF21" w:rsidR="002908F4" w:rsidRPr="00094996" w:rsidRDefault="002908F4" w:rsidP="006C69EA">
      <w:pPr>
        <w:ind w:firstLine="284"/>
        <w:jc w:val="both"/>
      </w:pPr>
      <w:r w:rsidRPr="00094996">
        <w:t>Asociacija pabrėžia, kad transporto įmonės jau susiduria su didėjančiais kaštais dėl „Mobilumo paketo“ įgyvendinimo, brangstančio kuro bei kelių mokesčių, todėl papildomas MMA didinimas tik dar labiau apsunkintų sektoriaus padėtį.</w:t>
      </w:r>
    </w:p>
    <w:p w14:paraId="4209FDDC" w14:textId="2C1C4D5A" w:rsidR="002908F4" w:rsidRPr="00094996" w:rsidRDefault="002908F4" w:rsidP="006C69EA">
      <w:pPr>
        <w:ind w:firstLine="284"/>
        <w:jc w:val="both"/>
      </w:pPr>
      <w:r w:rsidRPr="00094996">
        <w:t>Tuo metu Finansų ministerijos skaičiavimais, siūlomas MMA didinimas pareikalautų daugiau nei 100 mln. eurų papildomų valstybės biudžeto lėšų darbo užmokesčio koeficientų perskaičiavimui viešajame sektoriuje.</w:t>
      </w:r>
    </w:p>
    <w:p w14:paraId="42AC9113" w14:textId="721A784D" w:rsidR="002908F4" w:rsidRDefault="002908F4" w:rsidP="006C69EA">
      <w:pPr>
        <w:ind w:firstLine="284"/>
        <w:jc w:val="both"/>
      </w:pPr>
      <w:r w:rsidRPr="00094996">
        <w:t>„Reikia subalansuoto sprendimo, kuris leistų darbuotojams uždirbti daugiau, bet kartu išlaikytų įmonių konkurencingumą. Tai galima pasiekti per NPD didinimą ir sąžiningesnį MMA skaičiavimo principą“, – teigia LINAVOS generalinis sekretorius Narūnas Raulinaitis.</w:t>
      </w:r>
    </w:p>
    <w:p w14:paraId="35461C13" w14:textId="3C23C578" w:rsidR="0033041D" w:rsidRPr="000C2E43" w:rsidRDefault="00E10BDD" w:rsidP="006C69EA">
      <w:pPr>
        <w:ind w:firstLine="284"/>
        <w:jc w:val="both"/>
      </w:pPr>
      <w:r w:rsidRPr="000C2E43">
        <w:t>Pagal naujausius Europos Sąjungos duomenis, Lietuva pagal minimalų atlygį transporto sektoriuje šiuo metu užima 7 vietą ES. Mūsų šalį lenkia tik Vakarų Europos valstybės – Liuksemburgas, Nyderlandai, Airija, Vokietija, Belgija ir Prancūzija. Lietuva aplenkia tokias šalis kaip Ispanija, Slovėnija, Portugalija ar Lenkija.</w:t>
      </w:r>
    </w:p>
    <w:p w14:paraId="4BCD3A3A" w14:textId="62951B05" w:rsidR="00E10BDD" w:rsidRPr="000C2E43" w:rsidRDefault="000C2E43" w:rsidP="006C69EA">
      <w:pPr>
        <w:ind w:firstLine="284"/>
        <w:jc w:val="both"/>
      </w:pPr>
      <w:r w:rsidRPr="000C2E43">
        <w:t>Pagal minimalų valandinį darbo užmokestį (10,5 Eur/val.) Lietuvos transporto sektorius taip pat patenka tarp aukščiausių rodiklių visoje Europos Sąjungoje, nusileisdamas tik Vakarų Europos šalims – Liuksemburgui, Nyderlandams, Airijai, Vokietijai, Belgijai ir Prancūzijai. Tuo tarpu siūlomas MMA augimas Lietuvoje (+12,3 %) yra vienas didžiausių ES, nors daugumoje šalių šis rodiklis neviršija 6–8 procentų (grafikai pridedami).</w:t>
      </w:r>
    </w:p>
    <w:p w14:paraId="3438692C" w14:textId="71B67999" w:rsidR="002908F4" w:rsidRPr="00094996" w:rsidRDefault="002908F4" w:rsidP="006C69EA">
      <w:pPr>
        <w:ind w:firstLine="284"/>
        <w:jc w:val="both"/>
      </w:pPr>
      <w:r w:rsidRPr="00094996">
        <w:t>LINAVA siūlo atsisakyti MMA kėlimo 2026 metais ir ateityje nustatyti, kad MMA augimo tempas negalėtų viršyti pastarųjų trejų metų darbo našumo augimo vidurkio (remiantis LLRI siūlymu – ne daugiau kaip 4,2 proc.).</w:t>
      </w:r>
    </w:p>
    <w:p w14:paraId="4C656147" w14:textId="121503D8" w:rsidR="002908F4" w:rsidRPr="00094996" w:rsidRDefault="002908F4" w:rsidP="006C69EA">
      <w:pPr>
        <w:ind w:firstLine="284"/>
        <w:jc w:val="both"/>
      </w:pPr>
      <w:r w:rsidRPr="00094996">
        <w:t>Taip pat siūloma pakeisti MMA skaičiavimo formulę, įtraukiant darbo našumo rodiklį ir pririšant didinimą prie konkrečios sumos, o ne automatinio 1,65 koeficiento (pvz., 680 eurų, kaip šiuo metu). Tai užtikrintų, kad vairuotojų atlyginimai išliktų aukštesni, tačiau augimo našta įmonėms nebūtų neproporcingai didesnė.</w:t>
      </w:r>
    </w:p>
    <w:p w14:paraId="243D95D5" w14:textId="647AD269" w:rsidR="002908F4" w:rsidRPr="00094996" w:rsidRDefault="002908F4" w:rsidP="006C69EA">
      <w:pPr>
        <w:ind w:firstLine="284"/>
        <w:jc w:val="both"/>
      </w:pPr>
      <w:r w:rsidRPr="00094996">
        <w:t>Be to, darbuotojų pajamų didinimą, reikėtų užtikrinti per neapmokestinamojo pajamų dydžio (NPD) kėlimą, siekiant per kelerius metus jį priartinti prie MMA.</w:t>
      </w:r>
    </w:p>
    <w:p w14:paraId="7F2693A5" w14:textId="59A24B67" w:rsidR="001264D1" w:rsidRDefault="002908F4" w:rsidP="002B3C12">
      <w:pPr>
        <w:ind w:firstLine="426"/>
        <w:jc w:val="both"/>
      </w:pPr>
      <w:r w:rsidRPr="00094996">
        <w:lastRenderedPageBreak/>
        <w:t>Asociacijos teigimu, tokia kryptis padėtų išlaikyti Lietuvos ekonomikos konkurencingumą, skatintų investicijas</w:t>
      </w:r>
      <w:r w:rsidR="00681C18">
        <w:t xml:space="preserve"> </w:t>
      </w:r>
      <w:r w:rsidRPr="00094996">
        <w:t>ir sudarytų sąlygas tvariam atlyginimų augimui visoje ekonomikoje.</w:t>
      </w:r>
    </w:p>
    <w:p w14:paraId="10829066" w14:textId="57408D4B" w:rsidR="004417A0" w:rsidRPr="004417A0" w:rsidRDefault="004417A0">
      <w:pPr>
        <w:rPr>
          <w:b/>
          <w:bCs/>
        </w:rPr>
      </w:pPr>
      <w:r w:rsidRPr="004417A0">
        <w:rPr>
          <w:b/>
          <w:bCs/>
        </w:rPr>
        <w:t>Grafikai</w:t>
      </w:r>
      <w:r>
        <w:rPr>
          <w:b/>
          <w:bCs/>
        </w:rPr>
        <w:t xml:space="preserve"> ir lentelės</w:t>
      </w:r>
    </w:p>
    <w:tbl>
      <w:tblPr>
        <w:tblW w:w="9493" w:type="dxa"/>
        <w:tblLook w:val="04A0" w:firstRow="1" w:lastRow="0" w:firstColumn="1" w:lastColumn="0" w:noHBand="0" w:noVBand="1"/>
      </w:tblPr>
      <w:tblGrid>
        <w:gridCol w:w="2830"/>
        <w:gridCol w:w="2410"/>
        <w:gridCol w:w="2137"/>
        <w:gridCol w:w="2116"/>
      </w:tblGrid>
      <w:tr w:rsidR="004417A0" w:rsidRPr="007A0335" w14:paraId="19AEFCB4" w14:textId="77777777" w:rsidTr="00371B74">
        <w:trPr>
          <w:trHeight w:val="55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D6152" w14:textId="77777777" w:rsidR="004417A0" w:rsidRPr="007A0335" w:rsidRDefault="004417A0" w:rsidP="005D3E90">
            <w:pPr>
              <w:jc w:val="both"/>
              <w:rPr>
                <w:b/>
                <w:bCs/>
                <w:color w:val="000000"/>
                <w:szCs w:val="24"/>
                <w:lang w:eastAsia="lt-LT"/>
              </w:rPr>
            </w:pPr>
            <w:r w:rsidRPr="007A0335">
              <w:rPr>
                <w:b/>
                <w:color w:val="000000"/>
                <w:szCs w:val="24"/>
                <w:lang w:eastAsia="lt-LT"/>
              </w:rPr>
              <w:t>Šalis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B7A7B" w14:textId="77777777" w:rsidR="004417A0" w:rsidRPr="007A0335" w:rsidRDefault="004417A0" w:rsidP="005D3E90">
            <w:pPr>
              <w:jc w:val="both"/>
              <w:rPr>
                <w:b/>
                <w:bCs/>
                <w:color w:val="000000"/>
                <w:szCs w:val="24"/>
                <w:lang w:eastAsia="lt-LT"/>
              </w:rPr>
            </w:pPr>
            <w:r w:rsidRPr="007A0335">
              <w:rPr>
                <w:b/>
                <w:color w:val="000000"/>
                <w:szCs w:val="24"/>
                <w:lang w:eastAsia="lt-LT"/>
              </w:rPr>
              <w:t>2024 m. (EUR)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6858B" w14:textId="77777777" w:rsidR="004417A0" w:rsidRPr="007A0335" w:rsidRDefault="004417A0" w:rsidP="005D3E90">
            <w:pPr>
              <w:jc w:val="both"/>
              <w:rPr>
                <w:b/>
                <w:bCs/>
                <w:color w:val="000000"/>
                <w:szCs w:val="24"/>
                <w:lang w:eastAsia="lt-LT"/>
              </w:rPr>
            </w:pPr>
            <w:r w:rsidRPr="007A0335">
              <w:rPr>
                <w:b/>
                <w:color w:val="000000"/>
                <w:szCs w:val="24"/>
                <w:lang w:eastAsia="lt-LT"/>
              </w:rPr>
              <w:t>2025 m. (EUR)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DFC8F" w14:textId="77777777" w:rsidR="004417A0" w:rsidRPr="007A0335" w:rsidRDefault="004417A0" w:rsidP="005D3E90">
            <w:pPr>
              <w:jc w:val="both"/>
              <w:rPr>
                <w:b/>
                <w:bCs/>
                <w:color w:val="000000"/>
                <w:szCs w:val="24"/>
                <w:lang w:eastAsia="lt-LT"/>
              </w:rPr>
            </w:pPr>
            <w:r w:rsidRPr="007A0335">
              <w:rPr>
                <w:b/>
                <w:color w:val="000000"/>
                <w:szCs w:val="24"/>
                <w:lang w:eastAsia="lt-LT"/>
              </w:rPr>
              <w:t>Pokytis (%)</w:t>
            </w:r>
          </w:p>
        </w:tc>
      </w:tr>
      <w:tr w:rsidR="004417A0" w:rsidRPr="007A0335" w14:paraId="35C5E94D" w14:textId="77777777" w:rsidTr="00371B74">
        <w:trPr>
          <w:trHeight w:val="552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13784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Rumunija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BB0A6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663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4A725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814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D2449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22,8</w:t>
            </w:r>
          </w:p>
        </w:tc>
      </w:tr>
      <w:tr w:rsidR="004417A0" w:rsidRPr="007A0335" w14:paraId="3DB08898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3EE37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Kroatija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67325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840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C3100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970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0AFAF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15,5</w:t>
            </w:r>
          </w:p>
        </w:tc>
      </w:tr>
      <w:tr w:rsidR="004417A0" w:rsidRPr="007A0335" w14:paraId="2B31981E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4F5A7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Bulgarija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0D79D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477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C9AF9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551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1FC87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15,4</w:t>
            </w:r>
          </w:p>
        </w:tc>
      </w:tr>
      <w:tr w:rsidR="004417A0" w:rsidRPr="007A0335" w14:paraId="71562A0C" w14:textId="77777777" w:rsidTr="00371B74">
        <w:trPr>
          <w:trHeight w:val="28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57EE8" w14:textId="77777777" w:rsidR="004417A0" w:rsidRPr="007A0335" w:rsidRDefault="004417A0" w:rsidP="005D3E90">
            <w:pPr>
              <w:jc w:val="both"/>
              <w:rPr>
                <w:color w:val="4472C4" w:themeColor="accent1"/>
                <w:szCs w:val="24"/>
                <w:lang w:eastAsia="lt-LT"/>
              </w:rPr>
            </w:pPr>
            <w:r w:rsidRPr="007A0335">
              <w:rPr>
                <w:color w:val="4472C4" w:themeColor="accent1"/>
                <w:szCs w:val="24"/>
                <w:lang w:eastAsia="lt-LT"/>
              </w:rPr>
              <w:t>Lietuva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2531C" w14:textId="77777777" w:rsidR="004417A0" w:rsidRPr="007A0335" w:rsidRDefault="004417A0" w:rsidP="005D3E90">
            <w:pPr>
              <w:jc w:val="both"/>
              <w:rPr>
                <w:color w:val="4472C4" w:themeColor="accent1"/>
                <w:szCs w:val="24"/>
                <w:lang w:eastAsia="lt-LT"/>
              </w:rPr>
            </w:pPr>
            <w:r w:rsidRPr="007A0335">
              <w:rPr>
                <w:color w:val="4472C4" w:themeColor="accent1"/>
                <w:szCs w:val="24"/>
                <w:lang w:eastAsia="lt-LT"/>
              </w:rPr>
              <w:t xml:space="preserve">924 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B484B" w14:textId="77777777" w:rsidR="004417A0" w:rsidRPr="007A0335" w:rsidRDefault="004417A0" w:rsidP="005D3E90">
            <w:pPr>
              <w:jc w:val="both"/>
              <w:rPr>
                <w:color w:val="4472C4" w:themeColor="accent1"/>
                <w:szCs w:val="24"/>
                <w:lang w:eastAsia="lt-LT"/>
              </w:rPr>
            </w:pPr>
            <w:r w:rsidRPr="007A0335">
              <w:rPr>
                <w:color w:val="4472C4" w:themeColor="accent1"/>
                <w:szCs w:val="24"/>
                <w:lang w:eastAsia="lt-LT"/>
              </w:rPr>
              <w:t xml:space="preserve">1 038 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1271C" w14:textId="77777777" w:rsidR="004417A0" w:rsidRPr="007A0335" w:rsidRDefault="004417A0" w:rsidP="005D3E90">
            <w:pPr>
              <w:jc w:val="both"/>
              <w:rPr>
                <w:color w:val="4472C4" w:themeColor="accent1"/>
                <w:szCs w:val="24"/>
                <w:lang w:eastAsia="lt-LT"/>
              </w:rPr>
            </w:pPr>
            <w:r w:rsidRPr="007A0335">
              <w:rPr>
                <w:color w:val="4472C4" w:themeColor="accent1"/>
                <w:szCs w:val="24"/>
                <w:lang w:eastAsia="lt-LT"/>
              </w:rPr>
              <w:t>12,3</w:t>
            </w:r>
          </w:p>
        </w:tc>
      </w:tr>
      <w:tr w:rsidR="004417A0" w:rsidRPr="007A0335" w14:paraId="57CE302B" w14:textId="77777777" w:rsidTr="00371B74">
        <w:trPr>
          <w:trHeight w:val="28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7F623" w14:textId="77777777" w:rsidR="004417A0" w:rsidRPr="007A0335" w:rsidRDefault="004417A0" w:rsidP="005D3E90">
            <w:pPr>
              <w:jc w:val="both"/>
              <w:rPr>
                <w:color w:val="4472C4" w:themeColor="accent1"/>
                <w:szCs w:val="24"/>
                <w:lang w:eastAsia="lt-LT"/>
              </w:rPr>
            </w:pPr>
            <w:r w:rsidRPr="007A0335">
              <w:rPr>
                <w:color w:val="ED7D31" w:themeColor="accent2"/>
                <w:szCs w:val="24"/>
                <w:lang w:eastAsia="lt-LT"/>
              </w:rPr>
              <w:t xml:space="preserve">Lietuva Transporto sektorius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A6639" w14:textId="77777777" w:rsidR="004417A0" w:rsidRPr="007A0335" w:rsidRDefault="004417A0" w:rsidP="005D3E90">
            <w:pPr>
              <w:jc w:val="both"/>
              <w:rPr>
                <w:color w:val="4472C4" w:themeColor="accent1"/>
                <w:szCs w:val="24"/>
                <w:lang w:eastAsia="lt-LT"/>
              </w:rPr>
            </w:pPr>
            <w:r w:rsidRPr="007A0335">
              <w:rPr>
                <w:color w:val="ED7D31" w:themeColor="accent2"/>
                <w:szCs w:val="24"/>
                <w:lang w:eastAsia="lt-LT"/>
              </w:rPr>
              <w:t>1524,60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05374" w14:textId="77777777" w:rsidR="004417A0" w:rsidRPr="007A0335" w:rsidRDefault="004417A0" w:rsidP="005D3E90">
            <w:pPr>
              <w:jc w:val="both"/>
              <w:rPr>
                <w:color w:val="4472C4" w:themeColor="accent1"/>
                <w:szCs w:val="24"/>
                <w:lang w:eastAsia="lt-LT"/>
              </w:rPr>
            </w:pPr>
            <w:r w:rsidRPr="007A0335">
              <w:rPr>
                <w:color w:val="ED7D31" w:themeColor="accent2"/>
                <w:szCs w:val="24"/>
                <w:lang w:eastAsia="lt-LT"/>
              </w:rPr>
              <w:t>1712,70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E4C33" w14:textId="77777777" w:rsidR="004417A0" w:rsidRPr="007A0335" w:rsidRDefault="004417A0" w:rsidP="005D3E90">
            <w:pPr>
              <w:jc w:val="both"/>
              <w:rPr>
                <w:color w:val="4472C4" w:themeColor="accent1"/>
                <w:szCs w:val="24"/>
                <w:lang w:eastAsia="lt-LT"/>
              </w:rPr>
            </w:pPr>
            <w:r w:rsidRPr="007A0335">
              <w:rPr>
                <w:color w:val="ED7D31" w:themeColor="accent2"/>
                <w:szCs w:val="24"/>
                <w:lang w:eastAsia="lt-LT"/>
              </w:rPr>
              <w:t>12,3</w:t>
            </w:r>
          </w:p>
        </w:tc>
      </w:tr>
      <w:tr w:rsidR="004417A0" w:rsidRPr="007A0335" w14:paraId="25EB228B" w14:textId="77777777" w:rsidTr="00371B74">
        <w:trPr>
          <w:trHeight w:val="28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AD457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Čekija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0C49A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764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32E39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826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1183A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8</w:t>
            </w:r>
          </w:p>
        </w:tc>
      </w:tr>
      <w:tr w:rsidR="004417A0" w:rsidRPr="007A0335" w14:paraId="34191B21" w14:textId="77777777" w:rsidTr="00371B74">
        <w:trPr>
          <w:trHeight w:val="288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8EE2F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Lenkija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66A0D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978</w:t>
            </w:r>
          </w:p>
        </w:tc>
        <w:tc>
          <w:tcPr>
            <w:tcW w:w="2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F3A8E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1 091</w:t>
            </w:r>
          </w:p>
        </w:tc>
        <w:tc>
          <w:tcPr>
            <w:tcW w:w="2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63E84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11,7</w:t>
            </w:r>
          </w:p>
        </w:tc>
      </w:tr>
      <w:tr w:rsidR="004417A0" w:rsidRPr="007A0335" w14:paraId="5D56B4C0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29E46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Vengrija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C2BD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697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1A84D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707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24B11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1,4</w:t>
            </w:r>
          </w:p>
        </w:tc>
      </w:tr>
      <w:tr w:rsidR="004417A0" w:rsidRPr="007A0335" w14:paraId="785C8C0F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100F7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Slovakija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EEE0E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750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F5F42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816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64E74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8,8</w:t>
            </w:r>
          </w:p>
        </w:tc>
      </w:tr>
      <w:tr w:rsidR="004417A0" w:rsidRPr="007A0335" w14:paraId="65A0D8B6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60613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Estija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3CCA8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820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F4D5C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886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76D81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8</w:t>
            </w:r>
          </w:p>
        </w:tc>
      </w:tr>
      <w:tr w:rsidR="004417A0" w:rsidRPr="007A0335" w14:paraId="28E25A69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698B4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Graikija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D2262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910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CE024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968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FBD69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6,4</w:t>
            </w:r>
          </w:p>
        </w:tc>
      </w:tr>
      <w:tr w:rsidR="004417A0" w:rsidRPr="007A0335" w14:paraId="2A8CFC0F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32BE4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Airija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770B8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2 146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C00BC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2 282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5077B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6,3</w:t>
            </w:r>
          </w:p>
        </w:tc>
      </w:tr>
      <w:tr w:rsidR="004417A0" w:rsidRPr="007A0335" w14:paraId="54CE6839" w14:textId="77777777" w:rsidTr="00371B74">
        <w:trPr>
          <w:trHeight w:val="552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EA762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Portugalija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855EF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957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58B10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1 015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CB77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6,1</w:t>
            </w:r>
          </w:p>
        </w:tc>
      </w:tr>
      <w:tr w:rsidR="004417A0" w:rsidRPr="007A0335" w14:paraId="4C60B0F7" w14:textId="77777777" w:rsidTr="00371B74">
        <w:trPr>
          <w:trHeight w:val="552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1444D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Nyderlandai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5FF89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2 070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90223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2 193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3CA9C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6</w:t>
            </w:r>
          </w:p>
        </w:tc>
      </w:tr>
      <w:tr w:rsidR="004417A0" w:rsidRPr="007A0335" w14:paraId="5ED467BD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1DBF5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Latvija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012E2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700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12983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740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27663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5,7</w:t>
            </w:r>
          </w:p>
        </w:tc>
      </w:tr>
      <w:tr w:rsidR="004417A0" w:rsidRPr="007A0335" w14:paraId="455DC03E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AB35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Ispanija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0D929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1 323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7C99E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1 381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E966D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4,4</w:t>
            </w:r>
          </w:p>
        </w:tc>
      </w:tr>
      <w:tr w:rsidR="004417A0" w:rsidRPr="007A0335" w14:paraId="2ED75F36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4F2E6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Malta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73C5F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925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3C1AE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961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A20C1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3,9</w:t>
            </w:r>
          </w:p>
        </w:tc>
      </w:tr>
      <w:tr w:rsidR="004417A0" w:rsidRPr="007A0335" w14:paraId="35890251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5EF4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Belgija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3834B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1 994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0A71E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2 070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7FFB1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3,8</w:t>
            </w:r>
          </w:p>
        </w:tc>
      </w:tr>
      <w:tr w:rsidR="004417A0" w:rsidRPr="007A0335" w14:paraId="35956D5D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AAF2C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Vokietija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F0B57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2 054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2F913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2 122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A1A09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3,3</w:t>
            </w:r>
          </w:p>
        </w:tc>
      </w:tr>
      <w:tr w:rsidR="004417A0" w:rsidRPr="007A0335" w14:paraId="3E801BC9" w14:textId="77777777" w:rsidTr="00371B74">
        <w:trPr>
          <w:trHeight w:val="552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15511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Liuksemburgas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93436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2 571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4B697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2 638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D7075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2,6</w:t>
            </w:r>
          </w:p>
        </w:tc>
      </w:tr>
      <w:tr w:rsidR="004417A0" w:rsidRPr="007A0335" w14:paraId="398A7EC3" w14:textId="77777777" w:rsidTr="00371B74">
        <w:trPr>
          <w:trHeight w:val="552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6BB58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Prancūzija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E0A31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1 767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9D0DD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1 802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EB109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2</w:t>
            </w:r>
          </w:p>
        </w:tc>
      </w:tr>
      <w:tr w:rsidR="004417A0" w:rsidRPr="007A0335" w14:paraId="70806A9C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DC62D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Slovėnija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85CD4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1 358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DF87F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1 384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304EB" w14:textId="77777777" w:rsidR="004417A0" w:rsidRPr="007A0335" w:rsidRDefault="004417A0" w:rsidP="005D3E90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1,9</w:t>
            </w:r>
          </w:p>
        </w:tc>
      </w:tr>
      <w:tr w:rsidR="00686102" w:rsidRPr="007A0335" w14:paraId="31473E2B" w14:textId="77777777" w:rsidTr="00371B74">
        <w:trPr>
          <w:trHeight w:val="288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2CA5D" w14:textId="4CD68C55" w:rsidR="00686102" w:rsidRPr="007A0335" w:rsidRDefault="00686102" w:rsidP="00686102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Kipras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A1717" w14:textId="5DD28141" w:rsidR="00686102" w:rsidRPr="007A0335" w:rsidRDefault="00686102" w:rsidP="00686102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1 000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4CE3C" w14:textId="6FB5756C" w:rsidR="00686102" w:rsidRPr="007A0335" w:rsidRDefault="00686102" w:rsidP="00686102">
            <w:pPr>
              <w:jc w:val="both"/>
              <w:rPr>
                <w:color w:val="000000"/>
                <w:szCs w:val="24"/>
                <w:lang w:eastAsia="lt-LT"/>
              </w:rPr>
            </w:pPr>
            <w:r w:rsidRPr="007A0335">
              <w:rPr>
                <w:color w:val="000000"/>
                <w:szCs w:val="24"/>
                <w:lang w:eastAsia="lt-LT"/>
              </w:rPr>
              <w:t>1 000</w:t>
            </w:r>
          </w:p>
        </w:tc>
        <w:tc>
          <w:tcPr>
            <w:tcW w:w="2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289774" w14:textId="1F66B622" w:rsidR="00686102" w:rsidRPr="007A0335" w:rsidRDefault="00686102" w:rsidP="00686102">
            <w:pPr>
              <w:jc w:val="both"/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</w:t>
            </w:r>
          </w:p>
        </w:tc>
      </w:tr>
    </w:tbl>
    <w:p w14:paraId="66D18BB7" w14:textId="77777777" w:rsidR="004417A0" w:rsidRDefault="004417A0"/>
    <w:p w14:paraId="7AB1514A" w14:textId="42422B29" w:rsidR="000C5080" w:rsidRDefault="00F517C1">
      <w:r w:rsidRPr="007A0335">
        <w:rPr>
          <w:noProof/>
          <w:szCs w:val="24"/>
        </w:rPr>
        <w:lastRenderedPageBreak/>
        <w:drawing>
          <wp:inline distT="0" distB="0" distL="0" distR="0" wp14:anchorId="7F7E88E6" wp14:editId="5FA476CB">
            <wp:extent cx="5407041" cy="4495800"/>
            <wp:effectExtent l="0" t="0" r="3175" b="0"/>
            <wp:docPr id="1275070906" name="Paveikslėlis 6" descr="Paveikslėlis, kuriame yra tekstas, ekrano kopija, skaičius, diagrama&#10;&#10;Dirbtinio intelekto sugeneruotas turinys gali būti neteising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070906" name="Paveikslėlis 6" descr="Paveikslėlis, kuriame yra tekstas, ekrano kopija, skaičius, diagrama&#10;&#10;Dirbtinio intelekto sugeneruotas turinys gali būti neteisingas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255" cy="4497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615E3" w14:textId="6B227782" w:rsidR="001164FA" w:rsidRDefault="001164FA">
      <w:r w:rsidRPr="007A0335">
        <w:rPr>
          <w:noProof/>
          <w:szCs w:val="24"/>
        </w:rPr>
        <w:drawing>
          <wp:inline distT="0" distB="0" distL="0" distR="0" wp14:anchorId="244FB276" wp14:editId="4C8D312D">
            <wp:extent cx="5234940" cy="4042624"/>
            <wp:effectExtent l="0" t="0" r="3810" b="0"/>
            <wp:docPr id="492751005" name="Paveikslėlis 4" descr="Paveikslėlis, kuriame yra tekstas, ekrano kopija, skaičius, Šriftas&#10;&#10;Dirbtinio intelekto sugeneruotas turinys gali būti neteising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751005" name="Paveikslėlis 4" descr="Paveikslėlis, kuriame yra tekstas, ekrano kopija, skaičius, Šriftas&#10;&#10;Dirbtinio intelekto sugeneruotas turinys gali būti neteisingas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966" cy="404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206BA" w14:textId="37F8D3DB" w:rsidR="002D7433" w:rsidRDefault="002D7433">
      <w:r w:rsidRPr="007A0335">
        <w:rPr>
          <w:noProof/>
        </w:rPr>
        <w:lastRenderedPageBreak/>
        <w:drawing>
          <wp:inline distT="0" distB="0" distL="0" distR="0" wp14:anchorId="5FE43A92" wp14:editId="51A7CDDA">
            <wp:extent cx="5558400" cy="3405600"/>
            <wp:effectExtent l="0" t="0" r="4445" b="4445"/>
            <wp:docPr id="1725492065" name="Diagrama 1">
              <a:extLst xmlns:a="http://schemas.openxmlformats.org/drawingml/2006/main">
                <a:ext uri="{FF2B5EF4-FFF2-40B4-BE49-F238E27FC236}">
                  <a16:creationId xmlns:a16="http://schemas.microsoft.com/office/drawing/2014/main" id="{2667DFDC-354F-0FFA-8669-220C2B08680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17631F88" w14:textId="77777777" w:rsidR="004417A0" w:rsidRDefault="004417A0"/>
    <w:p w14:paraId="73ED933B" w14:textId="77777777" w:rsidR="001020EF" w:rsidRDefault="001020EF" w:rsidP="001020EF">
      <w:r w:rsidRPr="001379FF">
        <w:rPr>
          <w:b/>
          <w:bCs/>
        </w:rPr>
        <w:t>Kontaktai</w:t>
      </w:r>
      <w:r>
        <w:rPr>
          <w:b/>
          <w:bCs/>
        </w:rPr>
        <w:t>:</w:t>
      </w:r>
    </w:p>
    <w:p w14:paraId="12AF8E2A" w14:textId="77F50335" w:rsidR="001020EF" w:rsidRDefault="001020EF">
      <w:r w:rsidRPr="000B62BD">
        <w:rPr>
          <w:b/>
          <w:bCs/>
        </w:rPr>
        <w:t>Andrius Petraitis</w:t>
      </w:r>
      <w:r w:rsidRPr="000B62BD">
        <w:rPr>
          <w:b/>
          <w:bCs/>
        </w:rPr>
        <w:br/>
      </w:r>
      <w:r w:rsidRPr="000B62BD">
        <w:t>Atstovas spaudai, LINAVA</w:t>
      </w:r>
      <w:r>
        <w:br/>
      </w:r>
      <w:hyperlink r:id="rId7" w:tooltip="mailto:andrius.petraitis@linava.lt" w:history="1">
        <w:r w:rsidRPr="00F30E10">
          <w:rPr>
            <w:rStyle w:val="Hyperlink"/>
          </w:rPr>
          <w:t>andrius.petraitis@linava.lt</w:t>
        </w:r>
      </w:hyperlink>
      <w:r w:rsidRPr="00F30E10">
        <w:t> </w:t>
      </w:r>
      <w:r>
        <w:t xml:space="preserve"> </w:t>
      </w:r>
      <w:r w:rsidRPr="000B62BD">
        <w:br/>
        <w:t xml:space="preserve">+370 614 83700 | </w:t>
      </w:r>
      <w:hyperlink r:id="rId8" w:tgtFrame="_new" w:history="1">
        <w:r w:rsidRPr="000B62BD">
          <w:rPr>
            <w:rStyle w:val="Hyperlink"/>
          </w:rPr>
          <w:t>www.linava.lt</w:t>
        </w:r>
      </w:hyperlink>
    </w:p>
    <w:sectPr w:rsidR="001020EF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B4B"/>
    <w:rsid w:val="00007B4B"/>
    <w:rsid w:val="00057617"/>
    <w:rsid w:val="00094996"/>
    <w:rsid w:val="000C2E43"/>
    <w:rsid w:val="000C33E2"/>
    <w:rsid w:val="000C5080"/>
    <w:rsid w:val="001020EF"/>
    <w:rsid w:val="001164FA"/>
    <w:rsid w:val="001264D1"/>
    <w:rsid w:val="00141E9D"/>
    <w:rsid w:val="0018450F"/>
    <w:rsid w:val="001D7B0F"/>
    <w:rsid w:val="00201913"/>
    <w:rsid w:val="002908F4"/>
    <w:rsid w:val="00295CF9"/>
    <w:rsid w:val="002A06E8"/>
    <w:rsid w:val="002B3C12"/>
    <w:rsid w:val="002D7433"/>
    <w:rsid w:val="0033041D"/>
    <w:rsid w:val="003405B5"/>
    <w:rsid w:val="00371B74"/>
    <w:rsid w:val="00375067"/>
    <w:rsid w:val="003946DF"/>
    <w:rsid w:val="003A15B2"/>
    <w:rsid w:val="003B780F"/>
    <w:rsid w:val="00404D85"/>
    <w:rsid w:val="00420B40"/>
    <w:rsid w:val="00421B89"/>
    <w:rsid w:val="004417A0"/>
    <w:rsid w:val="004920D1"/>
    <w:rsid w:val="004A214C"/>
    <w:rsid w:val="004D2192"/>
    <w:rsid w:val="0051685F"/>
    <w:rsid w:val="005228CA"/>
    <w:rsid w:val="0059652D"/>
    <w:rsid w:val="005E5230"/>
    <w:rsid w:val="00681C18"/>
    <w:rsid w:val="00686102"/>
    <w:rsid w:val="006C69EA"/>
    <w:rsid w:val="007164E0"/>
    <w:rsid w:val="00895C45"/>
    <w:rsid w:val="00955AFA"/>
    <w:rsid w:val="00B72FE4"/>
    <w:rsid w:val="00BE1421"/>
    <w:rsid w:val="00CC06C0"/>
    <w:rsid w:val="00CC1DA5"/>
    <w:rsid w:val="00DF079D"/>
    <w:rsid w:val="00E10BDD"/>
    <w:rsid w:val="00E7026C"/>
    <w:rsid w:val="00F517C1"/>
    <w:rsid w:val="00F57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E0C56"/>
  <w15:chartTrackingRefBased/>
  <w15:docId w15:val="{8B87D881-CADA-4728-AA50-A1E85973B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7B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7B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7B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7B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7B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7B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7B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7B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7B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7B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7B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7B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7B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7B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7B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7B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7B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7B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7B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7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7B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7B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7B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7B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B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7B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7B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7B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7B4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020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ava.l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ndrius.petraitis@linava.l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valdask\AppData\Local\Microsoft\Windows\INetCache\Content.Outlook\0Z6AMAQ3\Grafika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lt-LT" sz="1300" b="1">
                <a:solidFill>
                  <a:schemeClr val="tx1"/>
                </a:solidFill>
              </a:rPr>
              <a:t>Minimalus</a:t>
            </a:r>
            <a:r>
              <a:rPr lang="lt-LT" sz="1300" b="1" baseline="0">
                <a:solidFill>
                  <a:schemeClr val="tx1"/>
                </a:solidFill>
              </a:rPr>
              <a:t> valandinis darbo užmokestis (Eur) 2025 m. </a:t>
            </a:r>
            <a:endParaRPr lang="lt-LT" sz="1300" b="1">
              <a:solidFill>
                <a:schemeClr val="tx1"/>
              </a:solidFill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lt-L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Pt>
            <c:idx val="6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4D85-45B0-9D94-F59487289BD0}"/>
              </c:ext>
            </c:extLst>
          </c:dPt>
          <c:dPt>
            <c:idx val="10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4D85-45B0-9D94-F59487289BD0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t-L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Lapas1!$A$2:$A$26</c:f>
              <c:strCache>
                <c:ptCount val="25"/>
                <c:pt idx="0">
                  <c:v>Liuksemburgas</c:v>
                </c:pt>
                <c:pt idx="1">
                  <c:v>Nyderlandai</c:v>
                </c:pt>
                <c:pt idx="2">
                  <c:v>Airija</c:v>
                </c:pt>
                <c:pt idx="3">
                  <c:v>Vokietija</c:v>
                </c:pt>
                <c:pt idx="4">
                  <c:v>Belgija</c:v>
                </c:pt>
                <c:pt idx="5">
                  <c:v>Prancūzija</c:v>
                </c:pt>
                <c:pt idx="6">
                  <c:v>Lietuva (Transportas)</c:v>
                </c:pt>
                <c:pt idx="8">
                  <c:v>Ispanija</c:v>
                </c:pt>
                <c:pt idx="9">
                  <c:v>Slovėnija</c:v>
                </c:pt>
                <c:pt idx="10">
                  <c:v>Lietuva</c:v>
                </c:pt>
                <c:pt idx="11">
                  <c:v>Lenkija</c:v>
                </c:pt>
                <c:pt idx="12">
                  <c:v>Portugalija</c:v>
                </c:pt>
                <c:pt idx="13">
                  <c:v>Kroatija</c:v>
                </c:pt>
                <c:pt idx="14">
                  <c:v>Kipras</c:v>
                </c:pt>
                <c:pt idx="15">
                  <c:v>Graikija</c:v>
                </c:pt>
                <c:pt idx="16">
                  <c:v>Malta</c:v>
                </c:pt>
                <c:pt idx="17">
                  <c:v>Estija</c:v>
                </c:pt>
                <c:pt idx="19">
                  <c:v>Čekija</c:v>
                </c:pt>
                <c:pt idx="20">
                  <c:v>Rumunija</c:v>
                </c:pt>
                <c:pt idx="21">
                  <c:v>Slovakija</c:v>
                </c:pt>
                <c:pt idx="22">
                  <c:v>Latvija</c:v>
                </c:pt>
                <c:pt idx="23">
                  <c:v>Vengrija</c:v>
                </c:pt>
                <c:pt idx="24">
                  <c:v>Bulgarija</c:v>
                </c:pt>
              </c:strCache>
            </c:strRef>
          </c:cat>
          <c:val>
            <c:numRef>
              <c:f>Lapas1!$B$2:$B$26</c:f>
              <c:numCache>
                <c:formatCode>General</c:formatCode>
                <c:ptCount val="25"/>
                <c:pt idx="0">
                  <c:v>15.2</c:v>
                </c:pt>
                <c:pt idx="1">
                  <c:v>14.1</c:v>
                </c:pt>
                <c:pt idx="2">
                  <c:v>13.5</c:v>
                </c:pt>
                <c:pt idx="3">
                  <c:v>12.8</c:v>
                </c:pt>
                <c:pt idx="4">
                  <c:v>12.6</c:v>
                </c:pt>
                <c:pt idx="5">
                  <c:v>11.9</c:v>
                </c:pt>
                <c:pt idx="6">
                  <c:v>10.5</c:v>
                </c:pt>
                <c:pt idx="8">
                  <c:v>8.1</c:v>
                </c:pt>
                <c:pt idx="9">
                  <c:v>7.9</c:v>
                </c:pt>
                <c:pt idx="10">
                  <c:v>6.4</c:v>
                </c:pt>
                <c:pt idx="11">
                  <c:v>6.3</c:v>
                </c:pt>
                <c:pt idx="12">
                  <c:v>5.8</c:v>
                </c:pt>
                <c:pt idx="13">
                  <c:v>5.6</c:v>
                </c:pt>
                <c:pt idx="14">
                  <c:v>5.6</c:v>
                </c:pt>
                <c:pt idx="15">
                  <c:v>5.5</c:v>
                </c:pt>
                <c:pt idx="16">
                  <c:v>5.5</c:v>
                </c:pt>
                <c:pt idx="17">
                  <c:v>5.3</c:v>
                </c:pt>
                <c:pt idx="19">
                  <c:v>4.9000000000000004</c:v>
                </c:pt>
                <c:pt idx="20">
                  <c:v>4.9000000000000004</c:v>
                </c:pt>
                <c:pt idx="21">
                  <c:v>4.7</c:v>
                </c:pt>
                <c:pt idx="22">
                  <c:v>4.3</c:v>
                </c:pt>
                <c:pt idx="23">
                  <c:v>4.0999999999999996</c:v>
                </c:pt>
                <c:pt idx="24">
                  <c:v>3.3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D85-45B0-9D94-F59487289BD0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011342128"/>
        <c:axId val="2011348368"/>
        <c:extLst>
          <c:ext xmlns:c15="http://schemas.microsoft.com/office/drawing/2012/chart" uri="{02D57815-91ED-43cb-92C2-25804820EDAC}">
            <c15:filteredBarSeries>
              <c15:ser>
                <c:idx val="1"/>
                <c:order val="1"/>
                <c:spPr>
                  <a:solidFill>
                    <a:schemeClr val="accent2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lt-LT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Lapas1!$A$2:$A$26</c15:sqref>
                        </c15:formulaRef>
                      </c:ext>
                    </c:extLst>
                    <c:strCache>
                      <c:ptCount val="25"/>
                      <c:pt idx="0">
                        <c:v>Liuksemburgas</c:v>
                      </c:pt>
                      <c:pt idx="1">
                        <c:v>Nyderlandai</c:v>
                      </c:pt>
                      <c:pt idx="2">
                        <c:v>Airija</c:v>
                      </c:pt>
                      <c:pt idx="3">
                        <c:v>Vokietija</c:v>
                      </c:pt>
                      <c:pt idx="4">
                        <c:v>Belgija</c:v>
                      </c:pt>
                      <c:pt idx="5">
                        <c:v>Prancūzija</c:v>
                      </c:pt>
                      <c:pt idx="6">
                        <c:v>Lietuva (Transportas)</c:v>
                      </c:pt>
                      <c:pt idx="8">
                        <c:v>Ispanija</c:v>
                      </c:pt>
                      <c:pt idx="9">
                        <c:v>Slovėnija</c:v>
                      </c:pt>
                      <c:pt idx="10">
                        <c:v>Lietuva</c:v>
                      </c:pt>
                      <c:pt idx="11">
                        <c:v>Lenkija</c:v>
                      </c:pt>
                      <c:pt idx="12">
                        <c:v>Portugalija</c:v>
                      </c:pt>
                      <c:pt idx="13">
                        <c:v>Kroatija</c:v>
                      </c:pt>
                      <c:pt idx="14">
                        <c:v>Kipras</c:v>
                      </c:pt>
                      <c:pt idx="15">
                        <c:v>Graikija</c:v>
                      </c:pt>
                      <c:pt idx="16">
                        <c:v>Malta</c:v>
                      </c:pt>
                      <c:pt idx="17">
                        <c:v>Estija</c:v>
                      </c:pt>
                      <c:pt idx="19">
                        <c:v>Čekija</c:v>
                      </c:pt>
                      <c:pt idx="20">
                        <c:v>Rumunija</c:v>
                      </c:pt>
                      <c:pt idx="21">
                        <c:v>Slovakija</c:v>
                      </c:pt>
                      <c:pt idx="22">
                        <c:v>Latvija</c:v>
                      </c:pt>
                      <c:pt idx="23">
                        <c:v>Vengrija</c:v>
                      </c:pt>
                      <c:pt idx="24">
                        <c:v>Bulgarija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Lapas1!$C$2:$C$26</c15:sqref>
                        </c15:formulaRef>
                      </c:ext>
                    </c:extLst>
                    <c:numCache>
                      <c:formatCode>General</c:formatCode>
                      <c:ptCount val="25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05-4D85-45B0-9D94-F59487289BD0}"/>
                  </c:ext>
                </c:extLst>
              </c15:ser>
            </c15:filteredBarSeries>
            <c15:filteredBarSeries>
              <c15:ser>
                <c:idx val="2"/>
                <c:order val="2"/>
                <c:spPr>
                  <a:solidFill>
                    <a:schemeClr val="accent3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lt-LT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Lapas1!$A$2:$A$26</c15:sqref>
                        </c15:formulaRef>
                      </c:ext>
                    </c:extLst>
                    <c:strCache>
                      <c:ptCount val="25"/>
                      <c:pt idx="0">
                        <c:v>Liuksemburgas</c:v>
                      </c:pt>
                      <c:pt idx="1">
                        <c:v>Nyderlandai</c:v>
                      </c:pt>
                      <c:pt idx="2">
                        <c:v>Airija</c:v>
                      </c:pt>
                      <c:pt idx="3">
                        <c:v>Vokietija</c:v>
                      </c:pt>
                      <c:pt idx="4">
                        <c:v>Belgija</c:v>
                      </c:pt>
                      <c:pt idx="5">
                        <c:v>Prancūzija</c:v>
                      </c:pt>
                      <c:pt idx="6">
                        <c:v>Lietuva (Transportas)</c:v>
                      </c:pt>
                      <c:pt idx="8">
                        <c:v>Ispanija</c:v>
                      </c:pt>
                      <c:pt idx="9">
                        <c:v>Slovėnija</c:v>
                      </c:pt>
                      <c:pt idx="10">
                        <c:v>Lietuva</c:v>
                      </c:pt>
                      <c:pt idx="11">
                        <c:v>Lenkija</c:v>
                      </c:pt>
                      <c:pt idx="12">
                        <c:v>Portugalija</c:v>
                      </c:pt>
                      <c:pt idx="13">
                        <c:v>Kroatija</c:v>
                      </c:pt>
                      <c:pt idx="14">
                        <c:v>Kipras</c:v>
                      </c:pt>
                      <c:pt idx="15">
                        <c:v>Graikija</c:v>
                      </c:pt>
                      <c:pt idx="16">
                        <c:v>Malta</c:v>
                      </c:pt>
                      <c:pt idx="17">
                        <c:v>Estija</c:v>
                      </c:pt>
                      <c:pt idx="19">
                        <c:v>Čekija</c:v>
                      </c:pt>
                      <c:pt idx="20">
                        <c:v>Rumunija</c:v>
                      </c:pt>
                      <c:pt idx="21">
                        <c:v>Slovakija</c:v>
                      </c:pt>
                      <c:pt idx="22">
                        <c:v>Latvija</c:v>
                      </c:pt>
                      <c:pt idx="23">
                        <c:v>Vengrija</c:v>
                      </c:pt>
                      <c:pt idx="24">
                        <c:v>Bulgarija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Lapas1!$D$2:$D$26</c15:sqref>
                        </c15:formulaRef>
                      </c:ext>
                    </c:extLst>
                    <c:numCache>
                      <c:formatCode>General</c:formatCode>
                      <c:ptCount val="25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4D85-45B0-9D94-F59487289BD0}"/>
                  </c:ext>
                </c:extLst>
              </c15:ser>
            </c15:filteredBarSeries>
            <c15:filteredBarSeries>
              <c15:ser>
                <c:idx val="3"/>
                <c:order val="3"/>
                <c:spPr>
                  <a:solidFill>
                    <a:schemeClr val="accent4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lt-LT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Lapas1!$A$2:$A$26</c15:sqref>
                        </c15:formulaRef>
                      </c:ext>
                    </c:extLst>
                    <c:strCache>
                      <c:ptCount val="25"/>
                      <c:pt idx="0">
                        <c:v>Liuksemburgas</c:v>
                      </c:pt>
                      <c:pt idx="1">
                        <c:v>Nyderlandai</c:v>
                      </c:pt>
                      <c:pt idx="2">
                        <c:v>Airija</c:v>
                      </c:pt>
                      <c:pt idx="3">
                        <c:v>Vokietija</c:v>
                      </c:pt>
                      <c:pt idx="4">
                        <c:v>Belgija</c:v>
                      </c:pt>
                      <c:pt idx="5">
                        <c:v>Prancūzija</c:v>
                      </c:pt>
                      <c:pt idx="6">
                        <c:v>Lietuva (Transportas)</c:v>
                      </c:pt>
                      <c:pt idx="8">
                        <c:v>Ispanija</c:v>
                      </c:pt>
                      <c:pt idx="9">
                        <c:v>Slovėnija</c:v>
                      </c:pt>
                      <c:pt idx="10">
                        <c:v>Lietuva</c:v>
                      </c:pt>
                      <c:pt idx="11">
                        <c:v>Lenkija</c:v>
                      </c:pt>
                      <c:pt idx="12">
                        <c:v>Portugalija</c:v>
                      </c:pt>
                      <c:pt idx="13">
                        <c:v>Kroatija</c:v>
                      </c:pt>
                      <c:pt idx="14">
                        <c:v>Kipras</c:v>
                      </c:pt>
                      <c:pt idx="15">
                        <c:v>Graikija</c:v>
                      </c:pt>
                      <c:pt idx="16">
                        <c:v>Malta</c:v>
                      </c:pt>
                      <c:pt idx="17">
                        <c:v>Estija</c:v>
                      </c:pt>
                      <c:pt idx="19">
                        <c:v>Čekija</c:v>
                      </c:pt>
                      <c:pt idx="20">
                        <c:v>Rumunija</c:v>
                      </c:pt>
                      <c:pt idx="21">
                        <c:v>Slovakija</c:v>
                      </c:pt>
                      <c:pt idx="22">
                        <c:v>Latvija</c:v>
                      </c:pt>
                      <c:pt idx="23">
                        <c:v>Vengrija</c:v>
                      </c:pt>
                      <c:pt idx="24">
                        <c:v>Bulgarija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Lapas1!$E$2:$E$26</c15:sqref>
                        </c15:formulaRef>
                      </c:ext>
                    </c:extLst>
                    <c:numCache>
                      <c:formatCode>General</c:formatCode>
                      <c:ptCount val="25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4D85-45B0-9D94-F59487289BD0}"/>
                  </c:ext>
                </c:extLst>
              </c15:ser>
            </c15:filteredBarSeries>
            <c15:filteredBarSeries>
              <c15:ser>
                <c:idx val="4"/>
                <c:order val="4"/>
                <c:spPr>
                  <a:solidFill>
                    <a:schemeClr val="accent5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lt-LT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 xmlns:c15="http://schemas.microsoft.com/office/drawing/2012/chart">
                    <c:ext xmlns:c15="http://schemas.microsoft.com/office/drawing/2012/chart"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Lapas1!$A$2:$A$26</c15:sqref>
                        </c15:formulaRef>
                      </c:ext>
                    </c:extLst>
                    <c:strCache>
                      <c:ptCount val="25"/>
                      <c:pt idx="0">
                        <c:v>Liuksemburgas</c:v>
                      </c:pt>
                      <c:pt idx="1">
                        <c:v>Nyderlandai</c:v>
                      </c:pt>
                      <c:pt idx="2">
                        <c:v>Airija</c:v>
                      </c:pt>
                      <c:pt idx="3">
                        <c:v>Vokietija</c:v>
                      </c:pt>
                      <c:pt idx="4">
                        <c:v>Belgija</c:v>
                      </c:pt>
                      <c:pt idx="5">
                        <c:v>Prancūzija</c:v>
                      </c:pt>
                      <c:pt idx="6">
                        <c:v>Lietuva (Transportas)</c:v>
                      </c:pt>
                      <c:pt idx="8">
                        <c:v>Ispanija</c:v>
                      </c:pt>
                      <c:pt idx="9">
                        <c:v>Slovėnija</c:v>
                      </c:pt>
                      <c:pt idx="10">
                        <c:v>Lietuva</c:v>
                      </c:pt>
                      <c:pt idx="11">
                        <c:v>Lenkija</c:v>
                      </c:pt>
                      <c:pt idx="12">
                        <c:v>Portugalija</c:v>
                      </c:pt>
                      <c:pt idx="13">
                        <c:v>Kroatija</c:v>
                      </c:pt>
                      <c:pt idx="14">
                        <c:v>Kipras</c:v>
                      </c:pt>
                      <c:pt idx="15">
                        <c:v>Graikija</c:v>
                      </c:pt>
                      <c:pt idx="16">
                        <c:v>Malta</c:v>
                      </c:pt>
                      <c:pt idx="17">
                        <c:v>Estija</c:v>
                      </c:pt>
                      <c:pt idx="19">
                        <c:v>Čekija</c:v>
                      </c:pt>
                      <c:pt idx="20">
                        <c:v>Rumunija</c:v>
                      </c:pt>
                      <c:pt idx="21">
                        <c:v>Slovakija</c:v>
                      </c:pt>
                      <c:pt idx="22">
                        <c:v>Latvija</c:v>
                      </c:pt>
                      <c:pt idx="23">
                        <c:v>Vengrija</c:v>
                      </c:pt>
                      <c:pt idx="24">
                        <c:v>Bulgarija</c:v>
                      </c:pt>
                    </c:strCache>
                  </c:str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Lapas1!$F$2:$F$26</c15:sqref>
                        </c15:formulaRef>
                      </c:ext>
                    </c:extLst>
                    <c:numCache>
                      <c:formatCode>General</c:formatCode>
                      <c:ptCount val="25"/>
                    </c:numCache>
                  </c:numRef>
                </c:val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4D85-45B0-9D94-F59487289BD0}"/>
                  </c:ext>
                </c:extLst>
              </c15:ser>
            </c15:filteredBarSeries>
          </c:ext>
        </c:extLst>
      </c:barChart>
      <c:catAx>
        <c:axId val="20113421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t-LT"/>
          </a:p>
        </c:txPr>
        <c:crossAx val="2011348368"/>
        <c:crosses val="autoZero"/>
        <c:auto val="1"/>
        <c:lblAlgn val="ctr"/>
        <c:lblOffset val="100"/>
        <c:noMultiLvlLbl val="0"/>
      </c:catAx>
      <c:valAx>
        <c:axId val="2011348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t-LT"/>
          </a:p>
        </c:txPr>
        <c:crossAx val="20113421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lt-L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4</Pages>
  <Words>2691</Words>
  <Characters>1535</Characters>
  <Application>Microsoft Office Word</Application>
  <DocSecurity>0</DocSecurity>
  <Lines>12</Lines>
  <Paragraphs>8</Paragraphs>
  <ScaleCrop>false</ScaleCrop>
  <Company/>
  <LinksUpToDate>false</LinksUpToDate>
  <CharactersWithSpaces>4218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Andrius Petraitis</dc:creator>
  <cp:keywords/>
  <dc:description/>
  <cp:lastModifiedBy>Andrius Petraitis</cp:lastModifiedBy>
  <cp:revision>53</cp:revision>
  <dcterms:created xsi:type="dcterms:W3CDTF">2025-10-07T14:24:00Z</dcterms:created>
  <dcterms:modified xsi:type="dcterms:W3CDTF">2025-10-09T06:23:00Z</dcterms:modified>
</cp:coreProperties>
</file>